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pacing w:val="-6"/>
          <w:sz w:val="44"/>
          <w:szCs w:val="44"/>
          <w:lang w:eastAsia="zh-CN"/>
        </w:rPr>
        <w:t>界首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6"/>
          <w:sz w:val="44"/>
          <w:szCs w:val="44"/>
          <w:lang w:eastAsia="zh-CN"/>
        </w:rPr>
        <w:t>市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pacing w:val="-6"/>
          <w:sz w:val="44"/>
          <w:szCs w:val="44"/>
          <w:lang w:eastAsia="zh-CN"/>
        </w:rPr>
        <w:t>融媒体中心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6"/>
          <w:sz w:val="44"/>
          <w:szCs w:val="44"/>
        </w:rPr>
        <w:t>2022年一般公共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预算“三公”经费预算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ind w:firstLine="640" w:firstLineChars="200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一、2022年一般公共预算“三公”经费支出预算表</w:t>
      </w:r>
    </w:p>
    <w:p>
      <w:pPr>
        <w:adjustRightInd w:val="0"/>
        <w:snapToGrid w:val="0"/>
        <w:spacing w:line="360" w:lineRule="auto"/>
        <w:ind w:firstLine="411" w:firstLineChars="196"/>
        <w:jc w:val="right"/>
        <w:rPr>
          <w:rStyle w:val="7"/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Style w:val="7"/>
          <w:rFonts w:hint="default" w:ascii="Times New Roman" w:hAnsi="Times New Roman" w:cs="Times New Roman"/>
          <w:b w:val="0"/>
          <w:bCs w:val="0"/>
          <w:color w:val="000000"/>
          <w:szCs w:val="21"/>
        </w:rPr>
        <w:t xml:space="preserve">      单位：万元</w:t>
      </w:r>
    </w:p>
    <w:tbl>
      <w:tblPr>
        <w:tblStyle w:val="4"/>
        <w:tblW w:w="926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545"/>
        <w:gridCol w:w="1455"/>
        <w:gridCol w:w="1121"/>
        <w:gridCol w:w="1889"/>
        <w:gridCol w:w="18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公务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接待费</w:t>
            </w:r>
          </w:p>
        </w:tc>
        <w:tc>
          <w:tcPr>
            <w:tcW w:w="4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30" w:firstLineChars="15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4.2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0.6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3.6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3.6</w:t>
            </w:r>
          </w:p>
        </w:tc>
      </w:tr>
    </w:tbl>
    <w:p>
      <w:pPr>
        <w:spacing w:line="540" w:lineRule="exact"/>
        <w:ind w:firstLine="640" w:firstLineChars="200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二、2022年一般公共预算“三公”经费支出预算情况说明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界首市融媒体中心</w:t>
      </w:r>
      <w:r>
        <w:rPr>
          <w:rFonts w:hint="eastAsia" w:ascii="仿宋_GB2312" w:hAnsi="仿宋" w:eastAsia="仿宋_GB2312"/>
          <w:sz w:val="32"/>
          <w:szCs w:val="32"/>
        </w:rPr>
        <w:t>2022年一般公共预算“三公”经费支出预算为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4.2</w:t>
      </w:r>
      <w:r>
        <w:rPr>
          <w:rFonts w:hint="eastAsia" w:ascii="仿宋_GB2312" w:hAnsi="仿宋" w:eastAsia="仿宋_GB2312"/>
          <w:sz w:val="32"/>
          <w:szCs w:val="32"/>
        </w:rPr>
        <w:t>万元，比2021年预算增加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%。其中：因公出国（境）费支出预算为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万元，公务接待费支出预算为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" w:eastAsia="仿宋_GB2312"/>
          <w:sz w:val="32"/>
          <w:szCs w:val="32"/>
        </w:rPr>
        <w:t>万元，公务用车购置及运行费支出预算为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4.2</w:t>
      </w:r>
      <w:r>
        <w:rPr>
          <w:rFonts w:hint="eastAsia" w:ascii="仿宋_GB2312" w:hAnsi="仿宋" w:eastAsia="仿宋_GB2312"/>
          <w:sz w:val="32"/>
          <w:szCs w:val="32"/>
        </w:rPr>
        <w:t>万元。具体情况如下：</w:t>
      </w:r>
    </w:p>
    <w:p>
      <w:pPr>
        <w:pStyle w:val="3"/>
        <w:numPr>
          <w:ilvl w:val="0"/>
          <w:numId w:val="0"/>
        </w:numPr>
        <w:adjustRightInd w:val="0"/>
        <w:snapToGrid w:val="0"/>
        <w:spacing w:before="0" w:beforeAutospacing="0" w:after="0" w:afterAutospacing="0" w:line="540" w:lineRule="exact"/>
        <w:ind w:firstLine="643" w:firstLineChars="200"/>
        <w:rPr>
          <w:rFonts w:hint="default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（一）</w:t>
      </w:r>
      <w:r>
        <w:rPr>
          <w:rFonts w:hint="eastAsia" w:ascii="仿宋_GB2312" w:hAnsi="仿宋" w:eastAsia="仿宋_GB2312"/>
          <w:b/>
          <w:sz w:val="32"/>
          <w:szCs w:val="32"/>
        </w:rPr>
        <w:t>因公出国（境）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费</w:t>
      </w:r>
      <w:r>
        <w:rPr>
          <w:rFonts w:hint="default" w:ascii="仿宋" w:hAnsi="仿宋" w:eastAsia="仿宋" w:cs="宋体"/>
          <w:kern w:val="0"/>
          <w:sz w:val="32"/>
          <w:szCs w:val="32"/>
          <w:lang w:eastAsia="zh-CN"/>
        </w:rPr>
        <w:t>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宋体"/>
          <w:kern w:val="0"/>
          <w:sz w:val="32"/>
          <w:szCs w:val="32"/>
          <w:lang w:eastAsia="zh-CN"/>
        </w:rPr>
        <w:t xml:space="preserve">万元,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与</w:t>
      </w:r>
      <w:r>
        <w:rPr>
          <w:rFonts w:hint="default" w:ascii="仿宋" w:hAnsi="仿宋" w:eastAsia="仿宋" w:cs="宋体"/>
          <w:kern w:val="0"/>
          <w:sz w:val="32"/>
          <w:szCs w:val="32"/>
          <w:lang w:eastAsia="zh-CN"/>
        </w:rPr>
        <w:t>2021年预算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持平</w:t>
      </w:r>
      <w:r>
        <w:rPr>
          <w:rFonts w:hint="default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持平</w:t>
      </w:r>
      <w:r>
        <w:rPr>
          <w:rFonts w:hint="default" w:ascii="仿宋" w:hAnsi="仿宋" w:eastAsia="仿宋" w:cs="宋体"/>
          <w:kern w:val="0"/>
          <w:sz w:val="32"/>
          <w:szCs w:val="32"/>
          <w:lang w:eastAsia="zh-CN"/>
        </w:rPr>
        <w:t>原因主要是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界首市融媒体中心202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年未安排因公出国（境）。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（二）公务接待费</w:t>
      </w:r>
      <w:r>
        <w:rPr>
          <w:rFonts w:hint="eastAsia" w:ascii="仿宋_GB2312" w:hAnsi="仿宋" w:eastAsia="仿宋_GB2312"/>
          <w:sz w:val="32"/>
          <w:szCs w:val="32"/>
        </w:rPr>
        <w:t>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" w:eastAsia="仿宋_GB2312"/>
          <w:sz w:val="32"/>
          <w:szCs w:val="32"/>
        </w:rPr>
        <w:t>万元，比2021年预算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，原因主要是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公务接待并无大的变化</w:t>
      </w:r>
      <w:r>
        <w:rPr>
          <w:rFonts w:hint="eastAsia" w:ascii="仿宋_GB2312" w:hAnsi="仿宋" w:eastAsia="仿宋_GB2312"/>
          <w:sz w:val="32"/>
          <w:szCs w:val="32"/>
        </w:rPr>
        <w:t>。该项经费主要用于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公务接待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default" w:ascii="仿宋_GB2312" w:hAnsi="仿宋" w:eastAsia="仿宋_GB2312"/>
          <w:sz w:val="32"/>
          <w:szCs w:val="32"/>
        </w:rPr>
        <w:t>经费使用严格执行《党政机关厉行节约反对浪费条例》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界首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市市直机关公务接待经费管理暂行办法》（财行〔2015〕455号）</w:t>
      </w:r>
      <w:r>
        <w:rPr>
          <w:rFonts w:hint="default" w:ascii="仿宋_GB2312" w:hAnsi="仿宋" w:eastAsia="仿宋_GB2312"/>
          <w:sz w:val="32"/>
          <w:szCs w:val="32"/>
        </w:rPr>
        <w:t>等相关规定。</w:t>
      </w: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（三）公务用车购置及运行费</w:t>
      </w:r>
      <w:r>
        <w:rPr>
          <w:rFonts w:hint="eastAsia" w:ascii="仿宋_GB2312" w:hAnsi="仿宋" w:eastAsia="仿宋_GB2312"/>
          <w:sz w:val="32"/>
          <w:szCs w:val="32"/>
        </w:rPr>
        <w:t>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3.6</w:t>
      </w:r>
      <w:r>
        <w:rPr>
          <w:rFonts w:hint="eastAsia" w:ascii="仿宋_GB2312" w:hAnsi="仿宋" w:eastAsia="仿宋_GB2312"/>
          <w:sz w:val="32"/>
          <w:szCs w:val="32"/>
        </w:rPr>
        <w:t>万元，比2021年预算增加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%。其中：公务用车运行费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3.6</w:t>
      </w:r>
    </w:p>
    <w:p>
      <w:pPr>
        <w:pStyle w:val="2"/>
        <w:rPr>
          <w:rFonts w:hint="eastAsia" w:ascii="仿宋_GB2312" w:hAnsi="仿宋" w:eastAsia="仿宋_GB2312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 w:val="0"/>
          <w:kern w:val="2"/>
          <w:sz w:val="32"/>
          <w:szCs w:val="32"/>
          <w:lang w:val="en-US" w:eastAsia="zh-CN" w:bidi="ar-SA"/>
        </w:rPr>
        <w:t>万元，比2021年预算增加0.6万元，增长20%，增长原因主要是资金调整；该项经费主要用于公车运行费。</w:t>
      </w:r>
      <w:r>
        <w:rPr>
          <w:rFonts w:hint="default" w:ascii="仿宋_GB2312" w:hAnsi="仿宋" w:eastAsia="仿宋_GB2312" w:cstheme="minorBidi"/>
          <w:b w:val="0"/>
          <w:kern w:val="2"/>
          <w:sz w:val="32"/>
          <w:szCs w:val="32"/>
          <w:lang w:val="en-US" w:eastAsia="zh-CN" w:bidi="ar-SA"/>
        </w:rPr>
        <w:t>公务用车购置费</w:t>
      </w:r>
      <w:r>
        <w:rPr>
          <w:rFonts w:hint="eastAsia" w:ascii="仿宋_GB2312" w:hAnsi="仿宋" w:eastAsia="仿宋_GB2312" w:cstheme="minorBidi"/>
          <w:b w:val="0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仿宋_GB2312" w:hAnsi="仿宋" w:eastAsia="仿宋_GB2312" w:cstheme="minorBidi"/>
          <w:b w:val="0"/>
          <w:kern w:val="2"/>
          <w:sz w:val="32"/>
          <w:szCs w:val="32"/>
          <w:lang w:val="en-US" w:eastAsia="zh-CN" w:bidi="ar-SA"/>
        </w:rPr>
        <w:t>万元，比2021年预算</w:t>
      </w:r>
      <w:r>
        <w:rPr>
          <w:rFonts w:hint="eastAsia" w:ascii="仿宋_GB2312" w:hAnsi="仿宋" w:eastAsia="仿宋_GB2312" w:cstheme="minorBidi"/>
          <w:b w:val="0"/>
          <w:kern w:val="2"/>
          <w:sz w:val="32"/>
          <w:szCs w:val="32"/>
          <w:lang w:val="en-US" w:eastAsia="zh-CN" w:bidi="ar-SA"/>
        </w:rPr>
        <w:t>持平</w:t>
      </w:r>
      <w:r>
        <w:rPr>
          <w:rFonts w:hint="default" w:ascii="仿宋_GB2312" w:hAnsi="仿宋" w:eastAsia="仿宋_GB2312" w:cstheme="minorBidi"/>
          <w:b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" w:eastAsia="仿宋_GB2312" w:cstheme="minorBidi"/>
          <w:b w:val="0"/>
          <w:kern w:val="2"/>
          <w:sz w:val="32"/>
          <w:szCs w:val="32"/>
          <w:lang w:val="en-US" w:eastAsia="zh-CN" w:bidi="ar-SA"/>
        </w:rPr>
        <w:t>持平</w:t>
      </w:r>
      <w:r>
        <w:rPr>
          <w:rFonts w:hint="default" w:ascii="仿宋_GB2312" w:hAnsi="仿宋" w:eastAsia="仿宋_GB2312" w:cstheme="minorBidi"/>
          <w:b w:val="0"/>
          <w:kern w:val="2"/>
          <w:sz w:val="32"/>
          <w:szCs w:val="32"/>
          <w:lang w:val="en-US" w:eastAsia="zh-CN" w:bidi="ar-SA"/>
        </w:rPr>
        <w:t>原因主要是</w:t>
      </w:r>
      <w:r>
        <w:rPr>
          <w:rFonts w:hint="eastAsia" w:ascii="仿宋_GB2312" w:hAnsi="仿宋" w:eastAsia="仿宋_GB2312" w:cstheme="minorBidi"/>
          <w:b w:val="0"/>
          <w:kern w:val="2"/>
          <w:sz w:val="32"/>
          <w:szCs w:val="32"/>
          <w:lang w:val="en-US" w:eastAsia="zh-CN" w:bidi="ar-SA"/>
        </w:rPr>
        <w:t>融媒体中心2022年没有购置公务用车</w:t>
      </w:r>
      <w:r>
        <w:rPr>
          <w:rFonts w:hint="default" w:ascii="仿宋_GB2312" w:hAnsi="仿宋" w:eastAsia="仿宋_GB2312" w:cstheme="minorBidi"/>
          <w:b w:val="0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C6093"/>
    <w:rsid w:val="30AC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link w:val="6"/>
    <w:semiHidden/>
    <w:qFormat/>
    <w:uiPriority w:val="0"/>
    <w:rPr>
      <w:szCs w:val="21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 Char Char Char Char Char Char Char"/>
    <w:basedOn w:val="1"/>
    <w:link w:val="5"/>
    <w:qFormat/>
    <w:uiPriority w:val="0"/>
    <w:rPr>
      <w:szCs w:val="21"/>
    </w:rPr>
  </w:style>
  <w:style w:type="character" w:styleId="7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2023-03-17T02:48:00Z</dcterms:created>
  <dc:creator>DUANPEIJUN</dc:creator>
  <cp:lastModifiedBy>DUANPEIJUN</cp:lastModifiedBy>
  <dcterms:modified xsi:type="dcterms:W3CDTF">2023-03-17T03:11:32Z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