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center"/>
        <w:rPr>
          <w:rFonts w:ascii="方正小标宋_GBK" w:hAnsi="Times New Roman" w:eastAsia="方正小标宋_GBK" w:cs="Times New Roman"/>
          <w:color w:val="auto"/>
          <w:sz w:val="36"/>
          <w:szCs w:val="36"/>
        </w:rPr>
      </w:pPr>
      <w:r>
        <w:rPr>
          <w:rFonts w:hint="eastAsia" w:ascii="方正小标宋_GBK" w:hAnsi="Times New Roman" w:eastAsia="方正小标宋_GBK" w:cs="方正小标宋_GBK"/>
          <w:color w:val="auto"/>
          <w:sz w:val="36"/>
          <w:szCs w:val="36"/>
        </w:rPr>
        <w:t>安徽省教师资格申请人员体检表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uppressAutoHyphens/>
              <w:ind w:left="75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uppressAutoHyphens/>
              <w:ind w:firstLine="240" w:firstLineChars="1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相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Cs/>
                <w:color w:val="auto"/>
                <w:sz w:val="24"/>
                <w:szCs w:val="24"/>
              </w:rPr>
              <w:t>申报学科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科</w:t>
            </w:r>
          </w:p>
        </w:tc>
        <w:tc>
          <w:tcPr>
            <w:tcW w:w="1184" w:type="dxa"/>
            <w:vMerge w:val="restart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医师意见：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左</w:t>
            </w: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左耳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noWrap w:val="0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右耳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米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科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ind w:firstLine="1920" w:firstLineChars="8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医师意见：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仿宋_GB2312"/>
          <w:color w:val="auto"/>
          <w:sz w:val="24"/>
          <w:szCs w:val="24"/>
        </w:rPr>
      </w:pPr>
    </w:p>
    <w:p>
      <w:pPr>
        <w:rPr>
          <w:rFonts w:hint="eastAsia" w:ascii="宋体" w:hAnsi="宋体" w:eastAsia="宋体" w:cs="仿宋_GB2312"/>
          <w:color w:val="auto"/>
          <w:sz w:val="24"/>
          <w:szCs w:val="24"/>
        </w:rPr>
      </w:pPr>
    </w:p>
    <w:p>
      <w:pPr>
        <w:rPr>
          <w:rFonts w:hint="eastAsia" w:ascii="宋体" w:hAnsi="宋体" w:eastAsia="宋体" w:cs="仿宋_GB2312"/>
          <w:color w:val="auto"/>
          <w:sz w:val="24"/>
          <w:szCs w:val="24"/>
        </w:rPr>
      </w:pPr>
    </w:p>
    <w:p>
      <w:pPr>
        <w:rPr>
          <w:rFonts w:hint="eastAsia" w:ascii="宋体" w:hAnsi="宋体" w:eastAsia="宋体" w:cs="仿宋_GB2312"/>
          <w:color w:val="auto"/>
          <w:sz w:val="24"/>
          <w:szCs w:val="24"/>
        </w:rPr>
      </w:pPr>
    </w:p>
    <w:p>
      <w:pPr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仿宋_GB2312"/>
          <w:color w:val="auto"/>
          <w:sz w:val="24"/>
          <w:szCs w:val="24"/>
        </w:rPr>
        <w:t>（粘贴检查单处）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营养状况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noWrap w:val="0"/>
            <w:vAlign w:val="top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医师意见：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宋体" w:hAnsi="宋体" w:eastAsia="宋体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血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压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心脏及血管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呼吸系统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腹部器官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神经及精神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其它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心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电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图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血常规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尿常规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转氨酶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胸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部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透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视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体检结论</w:t>
            </w:r>
          </w:p>
        </w:tc>
        <w:tc>
          <w:tcPr>
            <w:tcW w:w="8099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意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809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日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方正黑体_GBK"/>
          <w:color w:val="auto"/>
          <w:sz w:val="24"/>
          <w:szCs w:val="24"/>
        </w:rPr>
        <w:t>说明：</w:t>
      </w:r>
      <w:r>
        <w:rPr>
          <w:rFonts w:hint="eastAsia" w:ascii="宋体" w:hAnsi="宋体" w:eastAsia="宋体" w:cs="仿宋"/>
          <w:color w:val="auto"/>
          <w:sz w:val="24"/>
          <w:szCs w:val="24"/>
        </w:rPr>
        <w:t>负责医师作体检结论要填写“合格”</w:t>
      </w:r>
      <w:r>
        <w:rPr>
          <w:rFonts w:ascii="宋体" w:hAnsi="宋体" w:eastAsia="宋体" w:cs="仿宋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仿宋"/>
          <w:color w:val="auto"/>
          <w:sz w:val="24"/>
          <w:szCs w:val="24"/>
        </w:rPr>
        <w:t>、“不合格“两种结论，并说明原因。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jhmNzg0NDVmOWVlYWIyNjdjYWQ3OTUzMDU0OWEifQ=="/>
  </w:docVars>
  <w:rsids>
    <w:rsidRoot w:val="410C6535"/>
    <w:rsid w:val="410C6535"/>
    <w:rsid w:val="6F9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2</Pages>
  <Words>140</Words>
  <Characters>142</Characters>
  <Lines>0</Lines>
  <Paragraphs>0</Paragraphs>
  <TotalTime>0</TotalTime>
  <ScaleCrop>false</ScaleCrop>
  <LinksUpToDate>false</LinksUpToDate>
  <CharactersWithSpaces>184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2022-06-10T09:38:00Z</dcterms:created>
  <dc:creator>Administrator</dc:creator>
  <cp:lastModifiedBy>Administrator</cp:lastModifiedBy>
  <dcterms:modified xsi:type="dcterms:W3CDTF">2022-06-10T09:39:39Z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C4C4D53C44CA48CBBEFE7E896F692A2C</vt:lpwstr>
  </property>
</Properties>
</file>